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
          <w:bCs/>
        </w:rPr>
      </w:pPr>
      <w:r>
        <w:rPr>
          <w:b/>
          <w:bCs/>
        </w:rPr>
      </w:r>
    </w:p>
    <w:p>
      <w:pPr>
        <w:pStyle w:val="Normal"/>
        <w:jc w:val="center"/>
        <w:rPr>
          <w:b/>
          <w:b/>
          <w:bCs/>
        </w:rPr>
      </w:pPr>
      <w:r>
        <w:rPr>
          <w:b/>
          <w:bCs/>
        </w:rPr>
        <w:t>RELAZIONE TECNICA PER PIANO ALIENZIONE IMMOBILI</w:t>
      </w:r>
    </w:p>
    <w:p>
      <w:pPr>
        <w:pStyle w:val="Normal"/>
        <w:rPr/>
      </w:pPr>
      <w:r>
        <w:rPr/>
      </w:r>
    </w:p>
    <w:p>
      <w:pPr>
        <w:pStyle w:val="Normal"/>
        <w:rPr/>
      </w:pPr>
      <w:r>
        <w:rPr>
          <w:u w:val="single"/>
        </w:rPr>
        <w:t>Lotto n.:</w:t>
      </w:r>
      <w:r>
        <w:rPr/>
        <w:t xml:space="preserve"> 07</w:t>
      </w:r>
    </w:p>
    <w:p>
      <w:pPr>
        <w:pStyle w:val="Normal"/>
        <w:rPr>
          <w:u w:val="single"/>
        </w:rPr>
      </w:pPr>
      <w:r>
        <w:rPr>
          <w:u w:val="single"/>
        </w:rPr>
      </w:r>
    </w:p>
    <w:p>
      <w:pPr>
        <w:pStyle w:val="Normal"/>
        <w:rPr/>
      </w:pPr>
      <w:r>
        <w:rPr>
          <w:u w:val="single"/>
        </w:rPr>
        <w:t>Ubicazione:</w:t>
      </w:r>
      <w:r>
        <w:rPr/>
        <w:t xml:space="preserve"> Via Castellina 4, Loc. Masotti, Serravalle Pistoiese (PT)</w:t>
      </w:r>
    </w:p>
    <w:p>
      <w:pPr>
        <w:pStyle w:val="Normal"/>
        <w:rPr/>
      </w:pPr>
      <w:r>
        <w:rPr/>
      </w:r>
    </w:p>
    <w:p>
      <w:pPr>
        <w:pStyle w:val="Normal"/>
        <w:rPr/>
      </w:pPr>
      <w:r>
        <w:rPr>
          <w:u w:val="single"/>
        </w:rPr>
        <w:t>Descrizione dell’immobile:</w:t>
      </w:r>
    </w:p>
    <w:p>
      <w:pPr>
        <w:pStyle w:val="Normal"/>
        <w:jc w:val="both"/>
        <w:rPr/>
      </w:pPr>
      <w:r>
        <w:rPr/>
        <w:t>Fabbricato colonico di remota costruzione costituito da corpo di fabbrica principale libero sui quattro lati e di due piani fuori terra, oltre ad un annesso posto in posizione distaccata, libero su quattro lati e di un piano fuori terra.</w:t>
      </w:r>
    </w:p>
    <w:p>
      <w:pPr>
        <w:pStyle w:val="Normal"/>
        <w:jc w:val="both"/>
        <w:rPr/>
      </w:pPr>
      <w:r>
        <w:rPr/>
        <w:t>Il fabbricato principale è composto da una abitazione ed un deposito; l’annesso in posizione distaccata è costituito da una rimessa.</w:t>
      </w:r>
    </w:p>
    <w:p>
      <w:pPr>
        <w:pStyle w:val="Normal"/>
        <w:jc w:val="both"/>
        <w:rPr/>
      </w:pPr>
      <w:r>
        <w:rPr/>
        <w:t>L’abitazione si sviluppa su due piani (terra e primo) oltre piano sottotetto; il deposito si sviluppa su due piani (terra e primo) mentre la rimessa si sviluppa su un solo piano (terra).</w:t>
      </w:r>
    </w:p>
    <w:p>
      <w:pPr>
        <w:pStyle w:val="Normal"/>
        <w:jc w:val="both"/>
        <w:rPr/>
      </w:pPr>
      <w:r>
        <w:rPr/>
        <w:t>Il fabbricato è dotato di corte comune a tutte le U.I. della part. 201.</w:t>
      </w:r>
    </w:p>
    <w:p>
      <w:pPr>
        <w:pStyle w:val="Normal"/>
        <w:rPr>
          <w:u w:val="single"/>
        </w:rPr>
      </w:pPr>
      <w:r>
        <w:rPr>
          <w:u w:val="single"/>
        </w:rPr>
      </w:r>
    </w:p>
    <w:p>
      <w:pPr>
        <w:pStyle w:val="Normal"/>
        <w:rPr>
          <w:u w:val="single"/>
        </w:rPr>
      </w:pPr>
      <w:r>
        <w:rPr>
          <w:u w:val="single"/>
        </w:rPr>
        <w:t>Stato attuale del compendio immobiliare:</w:t>
      </w:r>
    </w:p>
    <w:p>
      <w:pPr>
        <w:pStyle w:val="Normal"/>
        <w:jc w:val="both"/>
        <w:rPr/>
      </w:pPr>
      <w:r>
        <w:rPr/>
        <w:t>Fabbricato principale:</w:t>
      </w:r>
    </w:p>
    <w:p>
      <w:pPr>
        <w:pStyle w:val="Normal"/>
        <w:jc w:val="both"/>
        <w:rPr/>
      </w:pPr>
      <w:r>
        <w:rPr/>
        <w:t>Fabbricato con copertura e facciate in mediocre stato di conservazione.</w:t>
      </w:r>
    </w:p>
    <w:p>
      <w:pPr>
        <w:pStyle w:val="Normal"/>
        <w:jc w:val="both"/>
        <w:rPr/>
      </w:pPr>
      <w:r>
        <w:rPr/>
        <w:t>Unità immobiliari facenti parte del fabbricato principale:</w:t>
      </w:r>
    </w:p>
    <w:p>
      <w:pPr>
        <w:pStyle w:val="Normal"/>
        <w:jc w:val="both"/>
        <w:rPr/>
      </w:pPr>
      <w:r>
        <w:rPr/>
        <w:t xml:space="preserve">Le Unità Immobiliari Abitazione e Deposito distinte dalla part. 201 sub. 2 e 3 si presentano in mediocre  stato di manutenzione/conservazione, con impianti, ove presenti, funzionanti. </w:t>
      </w:r>
    </w:p>
    <w:p>
      <w:pPr>
        <w:pStyle w:val="Normal"/>
        <w:jc w:val="both"/>
        <w:rPr/>
      </w:pPr>
      <w:r>
        <w:rPr/>
        <w:t>Annesso:</w:t>
      </w:r>
    </w:p>
    <w:p>
      <w:pPr>
        <w:pStyle w:val="Normal"/>
        <w:jc w:val="both"/>
        <w:rPr/>
      </w:pPr>
      <w:r>
        <w:rPr/>
        <w:t>L’Unità Immobiliare ad uso rimessa distinta dalla part. 201 sub. 4 si presenta in pessimo stato di manutenzione.</w:t>
      </w:r>
    </w:p>
    <w:p>
      <w:pPr>
        <w:pStyle w:val="Normal"/>
        <w:rPr/>
      </w:pPr>
      <w:r>
        <w:rPr/>
      </w:r>
    </w:p>
    <w:p>
      <w:pPr>
        <w:pStyle w:val="Normal"/>
        <w:rPr>
          <w:u w:val="single"/>
        </w:rPr>
      </w:pPr>
      <w:r>
        <w:rPr>
          <w:u w:val="single"/>
        </w:rPr>
        <w:t>Destinazione urbanistica attuale:</w:t>
      </w:r>
    </w:p>
    <w:p>
      <w:pPr>
        <w:pStyle w:val="Normal"/>
        <w:rPr/>
      </w:pPr>
      <w:bookmarkStart w:id="0" w:name="_Hlk171053662"/>
      <w:r>
        <w:rPr/>
        <w:t>Zona: Territorio Rurale – E2 – Sistema della collina arborata</w:t>
      </w:r>
    </w:p>
    <w:p>
      <w:pPr>
        <w:pStyle w:val="Normal"/>
        <w:rPr/>
      </w:pPr>
      <w:r>
        <w:rPr/>
        <w:t>Fabbricato:</w:t>
      </w:r>
    </w:p>
    <w:p>
      <w:pPr>
        <w:pStyle w:val="Normal"/>
        <w:rPr/>
      </w:pPr>
      <w:bookmarkStart w:id="1" w:name="_Hlk171053662"/>
      <w:r>
        <w:rPr/>
        <w:t>Edifici di scarso valore sotto il profilo storico, architettonico e  ambientale (E.S.V.) – art. 28.4 delle NTA</w:t>
      </w:r>
      <w:bookmarkEnd w:id="1"/>
    </w:p>
    <w:p>
      <w:pPr>
        <w:pStyle w:val="Normal"/>
        <w:rPr/>
      </w:pPr>
      <w:r>
        <w:rPr/>
      </w:r>
    </w:p>
    <w:p>
      <w:pPr>
        <w:pStyle w:val="Normal"/>
        <w:rPr>
          <w:u w:val="single"/>
        </w:rPr>
      </w:pPr>
      <w:r>
        <w:rPr>
          <w:u w:val="single"/>
        </w:rPr>
        <w:t>Titolo di provenienza:</w:t>
      </w:r>
    </w:p>
    <w:p>
      <w:pPr>
        <w:pStyle w:val="Normal"/>
        <w:jc w:val="both"/>
        <w:rPr>
          <w:sz w:val="22"/>
          <w:szCs w:val="22"/>
        </w:rPr>
      </w:pPr>
      <w:r>
        <w:rPr>
          <w:sz w:val="22"/>
          <w:szCs w:val="22"/>
        </w:rPr>
        <w:t xml:space="preserve">Il bene è pervenuto agli "ISTITUTI RAGGRUPPATI AZIENDA PUBBLICA ALLA PERSONA" in forza di titoli risalenti ad epoca remota (e comunque ultratrentennali), con la precisazione che l'Istituto proprietario era una I.P.A.B. denominato "ISTITUTI RAGGRUPPATI CONSERVATORIO DEGLI ORFANI E PIA CASA LAVORO CONVERSINI" e che l'attuale denominazione deriva dalla sua trasformazione in Azienda Pubblica di Servizi alla Persona, disposta con decreto emesso dal Presidente della Giunta Regionale Toscana in data 24 marzo 2006, n. 54, ai sensi della L.R. 43/04. </w:t>
      </w:r>
    </w:p>
    <w:p>
      <w:pPr>
        <w:pStyle w:val="Normal"/>
        <w:rPr/>
      </w:pPr>
      <w:r>
        <w:rPr/>
      </w:r>
    </w:p>
    <w:p>
      <w:pPr>
        <w:pStyle w:val="Normal"/>
        <w:rPr>
          <w:u w:val="single"/>
        </w:rPr>
      </w:pPr>
      <w:r>
        <w:rPr>
          <w:u w:val="single"/>
        </w:rPr>
        <w:t>Identificativi catastali delle porzioni costituenti il lotto in esame:</w:t>
      </w:r>
    </w:p>
    <w:tbl>
      <w:tblPr>
        <w:tblW w:w="9053" w:type="dxa"/>
        <w:jc w:val="left"/>
        <w:tblInd w:w="-30" w:type="dxa"/>
        <w:tblLayout w:type="fixed"/>
        <w:tblCellMar>
          <w:top w:w="0" w:type="dxa"/>
          <w:left w:w="30" w:type="dxa"/>
          <w:bottom w:w="0" w:type="dxa"/>
          <w:right w:w="30" w:type="dxa"/>
        </w:tblCellMar>
        <w:tblLook w:firstRow="1" w:noVBand="1" w:lastRow="0" w:firstColumn="1" w:lastColumn="0" w:noHBand="0" w:val="04a0"/>
      </w:tblPr>
      <w:tblGrid>
        <w:gridCol w:w="707"/>
        <w:gridCol w:w="988"/>
        <w:gridCol w:w="515"/>
        <w:gridCol w:w="927"/>
        <w:gridCol w:w="1713"/>
        <w:gridCol w:w="2101"/>
        <w:gridCol w:w="2101"/>
      </w:tblGrid>
      <w:tr>
        <w:trPr>
          <w:trHeight w:val="509" w:hRule="atLeast"/>
        </w:trPr>
        <w:tc>
          <w:tcPr>
            <w:tcW w:w="70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Foglio</w:t>
            </w:r>
          </w:p>
        </w:tc>
        <w:tc>
          <w:tcPr>
            <w:tcW w:w="988"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Particella</w:t>
            </w:r>
          </w:p>
        </w:tc>
        <w:tc>
          <w:tcPr>
            <w:tcW w:w="515"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Sub.</w:t>
            </w:r>
          </w:p>
        </w:tc>
        <w:tc>
          <w:tcPr>
            <w:tcW w:w="927"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Cat. Cat.</w:t>
            </w:r>
          </w:p>
        </w:tc>
        <w:tc>
          <w:tcPr>
            <w:tcW w:w="1713"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Sup. cat. tot. mq.</w:t>
            </w:r>
          </w:p>
        </w:tc>
        <w:tc>
          <w:tcPr>
            <w:tcW w:w="21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Rendita</w:t>
            </w:r>
          </w:p>
        </w:tc>
        <w:tc>
          <w:tcPr>
            <w:tcW w:w="2101" w:type="dxa"/>
            <w:tcBorders>
              <w:top w:val="dotted" w:sz="4" w:space="0" w:color="000000"/>
              <w:left w:val="dotted" w:sz="4" w:space="0" w:color="000000"/>
              <w:bottom w:val="dotted" w:sz="4" w:space="0" w:color="000000"/>
              <w:right w:val="dotted" w:sz="4" w:space="0" w:color="000000"/>
            </w:tcBorders>
            <w:vAlign w:val="center"/>
          </w:tcPr>
          <w:p>
            <w:pPr>
              <w:pStyle w:val="Normal"/>
              <w:widowControl w:val="false"/>
              <w:jc w:val="center"/>
              <w:rPr/>
            </w:pPr>
            <w:r>
              <w:rPr/>
              <w:t>Note</w:t>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7</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201</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1</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BCNC</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Corte comune</w:t>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7</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201</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A/3</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191</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 xml:space="preserve">€ </w:t>
            </w:r>
            <w:r>
              <w:rPr/>
              <w:t>929,62</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7</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201</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3</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C/2</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95</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 xml:space="preserve">€ </w:t>
            </w:r>
            <w:r>
              <w:rPr/>
              <w:t>164,85</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r>
      <w:tr>
        <w:trPr>
          <w:trHeight w:val="276" w:hRule="atLeast"/>
        </w:trPr>
        <w:tc>
          <w:tcPr>
            <w:tcW w:w="70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7</w:t>
            </w:r>
          </w:p>
        </w:tc>
        <w:tc>
          <w:tcPr>
            <w:tcW w:w="988"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201</w:t>
            </w:r>
          </w:p>
        </w:tc>
        <w:tc>
          <w:tcPr>
            <w:tcW w:w="515"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4</w:t>
            </w:r>
          </w:p>
        </w:tc>
        <w:tc>
          <w:tcPr>
            <w:tcW w:w="927"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center"/>
              <w:rPr/>
            </w:pPr>
            <w:r>
              <w:rPr/>
              <w:t>C/6</w:t>
            </w:r>
          </w:p>
        </w:tc>
        <w:tc>
          <w:tcPr>
            <w:tcW w:w="1713"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37</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t xml:space="preserve">€ </w:t>
            </w:r>
            <w:r>
              <w:rPr/>
              <w:t>79,38</w:t>
            </w:r>
          </w:p>
        </w:tc>
        <w:tc>
          <w:tcPr>
            <w:tcW w:w="2101" w:type="dxa"/>
            <w:tcBorders>
              <w:top w:val="dotted" w:sz="4" w:space="0" w:color="000000"/>
              <w:left w:val="dotted" w:sz="4" w:space="0" w:color="000000"/>
              <w:bottom w:val="dotted" w:sz="4" w:space="0" w:color="000000"/>
              <w:right w:val="dotted" w:sz="4" w:space="0" w:color="000000"/>
            </w:tcBorders>
            <w:vAlign w:val="bottom"/>
          </w:tcPr>
          <w:p>
            <w:pPr>
              <w:pStyle w:val="Normal"/>
              <w:widowControl w:val="false"/>
              <w:jc w:val="right"/>
              <w:rPr/>
            </w:pPr>
            <w:r>
              <w:rPr/>
            </w:r>
          </w:p>
        </w:tc>
      </w:tr>
    </w:tbl>
    <w:p>
      <w:pPr>
        <w:pStyle w:val="Normal"/>
        <w:rPr/>
      </w:pPr>
      <w:r>
        <w:rPr/>
      </w:r>
    </w:p>
    <w:p>
      <w:pPr>
        <w:pStyle w:val="Normal"/>
        <w:rPr>
          <w:u w:val="single"/>
        </w:rPr>
      </w:pPr>
      <w:r>
        <w:rPr>
          <w:u w:val="single"/>
        </w:rPr>
      </w:r>
      <w:r>
        <w:br w:type="page"/>
      </w:r>
    </w:p>
    <w:p>
      <w:pPr>
        <w:pStyle w:val="Normal"/>
        <w:rPr>
          <w:u w:val="single"/>
        </w:rPr>
      </w:pPr>
      <w:r>
        <w:rPr>
          <w:u w:val="single"/>
        </w:rPr>
        <w:t>Comunicazioni e vincoli:</w:t>
      </w:r>
    </w:p>
    <w:p>
      <w:pPr>
        <w:pStyle w:val="Normal"/>
        <w:jc w:val="both"/>
        <w:rPr/>
      </w:pPr>
      <w:bookmarkStart w:id="2" w:name="_Hlk171053572"/>
      <w:r>
        <w:rPr/>
        <w:t xml:space="preserve">La vendita del bene è stata oggetto di comunicazione al Comune di </w:t>
      </w:r>
      <w:r>
        <w:rPr/>
        <w:t>Pistoia</w:t>
      </w:r>
      <w:r>
        <w:rPr/>
        <w:t xml:space="preserve"> ai sensi dell’art. 14 comma 8 L.R. n. 43/2004. Per lo stesso è in corso la richiesta di verifica dell’interesse culturale da parte della competente Soprintendenza. Il bene sarà dunque alienabile al momento del rilascio di tale atto.</w:t>
      </w:r>
      <w:bookmarkEnd w:id="2"/>
    </w:p>
    <w:p>
      <w:pPr>
        <w:pStyle w:val="Normal"/>
        <w:rPr/>
      </w:pPr>
      <w:r>
        <w:rPr/>
      </w:r>
    </w:p>
    <w:p>
      <w:pPr>
        <w:pStyle w:val="Normal"/>
        <w:rPr>
          <w:u w:val="single"/>
        </w:rPr>
      </w:pPr>
      <w:r>
        <w:rPr>
          <w:u w:val="single"/>
        </w:rPr>
        <w:t>Stima del lotto in esame:</w:t>
      </w:r>
    </w:p>
    <w:p>
      <w:pPr>
        <w:pStyle w:val="Normal"/>
        <w:rPr/>
      </w:pPr>
      <w:r>
        <w:rPr/>
      </w:r>
    </w:p>
    <w:tbl>
      <w:tblPr>
        <w:tblW w:w="9560" w:type="dxa"/>
        <w:jc w:val="left"/>
        <w:tblInd w:w="75" w:type="dxa"/>
        <w:tblLayout w:type="fixed"/>
        <w:tblCellMar>
          <w:top w:w="0" w:type="dxa"/>
          <w:left w:w="70" w:type="dxa"/>
          <w:bottom w:w="0" w:type="dxa"/>
          <w:right w:w="70" w:type="dxa"/>
        </w:tblCellMar>
        <w:tblLook w:firstRow="1" w:noVBand="1" w:lastRow="0" w:firstColumn="1" w:lastColumn="0" w:noHBand="0" w:val="04a0"/>
      </w:tblPr>
      <w:tblGrid>
        <w:gridCol w:w="631"/>
        <w:gridCol w:w="603"/>
        <w:gridCol w:w="534"/>
        <w:gridCol w:w="1164"/>
        <w:gridCol w:w="1068"/>
        <w:gridCol w:w="1077"/>
        <w:gridCol w:w="1122"/>
        <w:gridCol w:w="1064"/>
        <w:gridCol w:w="1055"/>
        <w:gridCol w:w="1241"/>
      </w:tblGrid>
      <w:tr>
        <w:trPr>
          <w:trHeight w:val="1475" w:hRule="atLeast"/>
        </w:trPr>
        <w:tc>
          <w:tcPr>
            <w:tcW w:w="631" w:type="dxa"/>
            <w:tcBorders>
              <w:top w:val="dotted" w:sz="4" w:space="0" w:color="000000"/>
              <w:left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Foglio</w:t>
            </w:r>
          </w:p>
        </w:tc>
        <w:tc>
          <w:tcPr>
            <w:tcW w:w="603"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Part.</w:t>
            </w:r>
          </w:p>
        </w:tc>
        <w:tc>
          <w:tcPr>
            <w:tcW w:w="534"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Sub.</w:t>
            </w:r>
          </w:p>
        </w:tc>
        <w:tc>
          <w:tcPr>
            <w:tcW w:w="1164"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Superficie commerciale (da planim. Cat.)</w:t>
            </w:r>
          </w:p>
        </w:tc>
        <w:tc>
          <w:tcPr>
            <w:tcW w:w="1068"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Valore Unitario OMI  1° sem. 2024     (minimo)</w:t>
            </w:r>
          </w:p>
        </w:tc>
        <w:tc>
          <w:tcPr>
            <w:tcW w:w="1077"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Valore </w:t>
            </w:r>
          </w:p>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Unitario  </w:t>
            </w:r>
          </w:p>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Borsino Imm.re 01/2025 (minimo)</w:t>
            </w:r>
          </w:p>
        </w:tc>
        <w:tc>
          <w:tcPr>
            <w:tcW w:w="1122"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Coefficiente comparativo</w:t>
            </w:r>
          </w:p>
        </w:tc>
        <w:tc>
          <w:tcPr>
            <w:tcW w:w="1064"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 </w:t>
            </w:r>
            <w:r>
              <w:rPr>
                <w:rFonts w:eastAsia="Times New Roman" w:cs="Calibri" w:ascii="Arial Narrow" w:hAnsi="Arial Narrow"/>
                <w:color w:val="000000"/>
                <w:kern w:val="0"/>
                <w:sz w:val="22"/>
                <w:szCs w:val="22"/>
                <w:lang w:eastAsia="it-IT" w:bidi="ar-SA"/>
              </w:rPr>
              <w:t xml:space="preserve">Valore </w:t>
            </w:r>
          </w:p>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unitario medio comparato </w:t>
            </w:r>
          </w:p>
        </w:tc>
        <w:tc>
          <w:tcPr>
            <w:tcW w:w="1055"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 </w:t>
            </w:r>
            <w:r>
              <w:rPr>
                <w:rFonts w:eastAsia="Times New Roman" w:cs="Calibri" w:ascii="Arial Narrow" w:hAnsi="Arial Narrow"/>
                <w:color w:val="000000"/>
                <w:kern w:val="0"/>
                <w:sz w:val="22"/>
                <w:szCs w:val="22"/>
                <w:lang w:eastAsia="it-IT" w:bidi="ar-SA"/>
              </w:rPr>
              <w:t xml:space="preserve">Riduzione per </w:t>
            </w:r>
          </w:p>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immobile locato </w:t>
            </w:r>
          </w:p>
        </w:tc>
        <w:tc>
          <w:tcPr>
            <w:tcW w:w="1241" w:type="dxa"/>
            <w:tcBorders>
              <w:top w:val="dotted" w:sz="4" w:space="0" w:color="000000"/>
              <w:bottom w:val="dotted" w:sz="4" w:space="0" w:color="000000"/>
              <w:right w:val="dotted" w:sz="4" w:space="0" w:color="000000"/>
            </w:tcBorders>
            <w:shd w:color="auto" w:fill="auto" w:val="clear"/>
            <w:vAlign w:val="center"/>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 xml:space="preserve">Valore </w:t>
            </w:r>
          </w:p>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commerciale stimato</w:t>
            </w:r>
          </w:p>
        </w:tc>
      </w:tr>
      <w:tr>
        <w:trPr>
          <w:trHeight w:val="330" w:hRule="atLeast"/>
        </w:trPr>
        <w:tc>
          <w:tcPr>
            <w:tcW w:w="631"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7</w:t>
            </w:r>
          </w:p>
        </w:tc>
        <w:tc>
          <w:tcPr>
            <w:tcW w:w="603"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201</w:t>
            </w:r>
          </w:p>
        </w:tc>
        <w:tc>
          <w:tcPr>
            <w:tcW w:w="534"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w:t>
            </w:r>
          </w:p>
        </w:tc>
        <w:tc>
          <w:tcPr>
            <w:tcW w:w="1164"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180</w:t>
            </w:r>
          </w:p>
        </w:tc>
        <w:tc>
          <w:tcPr>
            <w:tcW w:w="1068"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1.100,00</w:t>
            </w:r>
          </w:p>
        </w:tc>
        <w:tc>
          <w:tcPr>
            <w:tcW w:w="1077"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1.112,00</w:t>
            </w:r>
          </w:p>
        </w:tc>
        <w:tc>
          <w:tcPr>
            <w:tcW w:w="1122"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60,00%</w:t>
            </w:r>
          </w:p>
        </w:tc>
        <w:tc>
          <w:tcPr>
            <w:tcW w:w="1064"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color w:val="000000"/>
                <w:kern w:val="0"/>
                <w:sz w:val="21"/>
                <w:szCs w:val="21"/>
                <w:lang w:eastAsia="it-IT" w:bidi="ar-SA"/>
              </w:rPr>
            </w:pPr>
            <w:r>
              <w:rPr>
                <w:rFonts w:cs="Calibri" w:ascii="Arial Narrow" w:hAnsi="Arial Narrow"/>
                <w:color w:val="000000"/>
                <w:sz w:val="22"/>
                <w:szCs w:val="22"/>
              </w:rPr>
              <w:t xml:space="preserve"> €    </w:t>
            </w:r>
            <w:r>
              <w:rPr>
                <w:rFonts w:cs="Calibri" w:ascii="Arial Narrow" w:hAnsi="Arial Narrow"/>
                <w:color w:val="000000"/>
                <w:sz w:val="22"/>
                <w:szCs w:val="22"/>
              </w:rPr>
              <w:t xml:space="preserve">663,60 </w:t>
            </w:r>
          </w:p>
        </w:tc>
        <w:tc>
          <w:tcPr>
            <w:tcW w:w="1055"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95,00%</w:t>
            </w:r>
          </w:p>
        </w:tc>
        <w:tc>
          <w:tcPr>
            <w:tcW w:w="1241"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113.475,60</w:t>
            </w:r>
          </w:p>
        </w:tc>
      </w:tr>
      <w:tr>
        <w:trPr>
          <w:trHeight w:val="330" w:hRule="atLeast"/>
        </w:trPr>
        <w:tc>
          <w:tcPr>
            <w:tcW w:w="631" w:type="dxa"/>
            <w:tcBorders>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eastAsia="Times New Roman" w:cs="Calibri" w:ascii="Arial Narrow" w:hAnsi="Arial Narrow"/>
                <w:color w:val="000000"/>
                <w:kern w:val="0"/>
                <w:sz w:val="22"/>
                <w:szCs w:val="22"/>
                <w:lang w:eastAsia="it-IT" w:bidi="ar-SA"/>
              </w:rPr>
              <w:t>7</w:t>
            </w:r>
          </w:p>
        </w:tc>
        <w:tc>
          <w:tcPr>
            <w:tcW w:w="603"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201</w:t>
            </w:r>
          </w:p>
        </w:tc>
        <w:tc>
          <w:tcPr>
            <w:tcW w:w="534"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3</w:t>
            </w:r>
          </w:p>
        </w:tc>
        <w:tc>
          <w:tcPr>
            <w:tcW w:w="1164"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95</w:t>
            </w:r>
          </w:p>
        </w:tc>
        <w:tc>
          <w:tcPr>
            <w:tcW w:w="1068"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350,00</w:t>
            </w:r>
          </w:p>
        </w:tc>
        <w:tc>
          <w:tcPr>
            <w:tcW w:w="1077"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292,00</w:t>
            </w:r>
          </w:p>
        </w:tc>
        <w:tc>
          <w:tcPr>
            <w:tcW w:w="1122"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60,00%</w:t>
            </w:r>
          </w:p>
        </w:tc>
        <w:tc>
          <w:tcPr>
            <w:tcW w:w="1064"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color w:val="000000"/>
                <w:kern w:val="0"/>
                <w:sz w:val="21"/>
                <w:szCs w:val="21"/>
                <w:lang w:eastAsia="it-IT" w:bidi="ar-SA"/>
              </w:rPr>
            </w:pPr>
            <w:r>
              <w:rPr>
                <w:rFonts w:cs="Calibri" w:ascii="Arial Narrow" w:hAnsi="Arial Narrow"/>
                <w:color w:val="000000"/>
                <w:sz w:val="22"/>
                <w:szCs w:val="22"/>
              </w:rPr>
              <w:t xml:space="preserve"> €    </w:t>
            </w:r>
            <w:r>
              <w:rPr>
                <w:rFonts w:cs="Calibri" w:ascii="Arial Narrow" w:hAnsi="Arial Narrow"/>
                <w:color w:val="000000"/>
                <w:sz w:val="22"/>
                <w:szCs w:val="22"/>
              </w:rPr>
              <w:t xml:space="preserve">192,60 </w:t>
            </w:r>
          </w:p>
        </w:tc>
        <w:tc>
          <w:tcPr>
            <w:tcW w:w="1055"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95,00%</w:t>
            </w:r>
          </w:p>
        </w:tc>
        <w:tc>
          <w:tcPr>
            <w:tcW w:w="1241"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17.382,15</w:t>
            </w:r>
          </w:p>
        </w:tc>
      </w:tr>
      <w:tr>
        <w:trPr>
          <w:trHeight w:val="330" w:hRule="atLeast"/>
        </w:trPr>
        <w:tc>
          <w:tcPr>
            <w:tcW w:w="631" w:type="dxa"/>
            <w:tcBorders>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7</w:t>
            </w:r>
          </w:p>
        </w:tc>
        <w:tc>
          <w:tcPr>
            <w:tcW w:w="603"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201</w:t>
            </w:r>
          </w:p>
        </w:tc>
        <w:tc>
          <w:tcPr>
            <w:tcW w:w="534"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cs="Calibri"/>
                <w:color w:val="000000"/>
                <w:sz w:val="22"/>
                <w:szCs w:val="22"/>
              </w:rPr>
            </w:pPr>
            <w:r>
              <w:rPr>
                <w:rFonts w:cs="Calibri" w:ascii="Arial Narrow" w:hAnsi="Arial Narrow"/>
                <w:color w:val="000000"/>
                <w:sz w:val="22"/>
                <w:szCs w:val="22"/>
              </w:rPr>
              <w:t>4</w:t>
            </w:r>
          </w:p>
        </w:tc>
        <w:tc>
          <w:tcPr>
            <w:tcW w:w="1164"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37</w:t>
            </w:r>
          </w:p>
        </w:tc>
        <w:tc>
          <w:tcPr>
            <w:tcW w:w="1068"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700,00</w:t>
            </w:r>
          </w:p>
        </w:tc>
        <w:tc>
          <w:tcPr>
            <w:tcW w:w="1077"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485,00</w:t>
            </w:r>
          </w:p>
        </w:tc>
        <w:tc>
          <w:tcPr>
            <w:tcW w:w="1122" w:type="dxa"/>
            <w:tcBorders>
              <w:top w:val="dotted" w:sz="4" w:space="0" w:color="000000"/>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55,00%</w:t>
            </w:r>
          </w:p>
        </w:tc>
        <w:tc>
          <w:tcPr>
            <w:tcW w:w="1064"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color w:val="000000"/>
                <w:kern w:val="0"/>
                <w:sz w:val="21"/>
                <w:szCs w:val="21"/>
                <w:lang w:eastAsia="it-IT" w:bidi="ar-SA"/>
              </w:rPr>
            </w:pPr>
            <w:r>
              <w:rPr>
                <w:rFonts w:cs="Calibri" w:ascii="Arial Narrow" w:hAnsi="Arial Narrow"/>
                <w:color w:val="000000"/>
                <w:sz w:val="22"/>
                <w:szCs w:val="22"/>
              </w:rPr>
              <w:t xml:space="preserve"> €    </w:t>
            </w:r>
            <w:r>
              <w:rPr>
                <w:rFonts w:cs="Calibri" w:ascii="Arial Narrow" w:hAnsi="Arial Narrow"/>
                <w:color w:val="000000"/>
                <w:sz w:val="22"/>
                <w:szCs w:val="22"/>
              </w:rPr>
              <w:t xml:space="preserve">325,88 </w:t>
            </w:r>
          </w:p>
        </w:tc>
        <w:tc>
          <w:tcPr>
            <w:tcW w:w="1055"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95,00%</w:t>
            </w:r>
          </w:p>
        </w:tc>
        <w:tc>
          <w:tcPr>
            <w:tcW w:w="1241" w:type="dxa"/>
            <w:tcBorders>
              <w:top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eastAsia="Times New Roman" w:cs="Calibri"/>
                <w:color w:val="000000"/>
                <w:kern w:val="0"/>
                <w:sz w:val="22"/>
                <w:szCs w:val="22"/>
                <w:lang w:eastAsia="it-IT" w:bidi="ar-SA"/>
              </w:rPr>
            </w:pPr>
            <w:r>
              <w:rPr>
                <w:rFonts w:cs="Calibri" w:ascii="Arial Narrow" w:hAnsi="Arial Narrow"/>
                <w:color w:val="000000"/>
                <w:sz w:val="22"/>
                <w:szCs w:val="22"/>
              </w:rPr>
              <w:t xml:space="preserve">€ </w:t>
            </w:r>
            <w:r>
              <w:rPr>
                <w:rFonts w:cs="Calibri" w:ascii="Arial Narrow" w:hAnsi="Arial Narrow"/>
                <w:color w:val="000000"/>
                <w:sz w:val="22"/>
                <w:szCs w:val="22"/>
              </w:rPr>
              <w:t>11.454,51</w:t>
            </w:r>
          </w:p>
        </w:tc>
      </w:tr>
      <w:tr>
        <w:trPr>
          <w:trHeight w:val="330" w:hRule="atLeast"/>
        </w:trPr>
        <w:tc>
          <w:tcPr>
            <w:tcW w:w="631" w:type="dxa"/>
            <w:tcBorders>
              <w:left w:val="dotted" w:sz="4" w:space="0" w:color="000000"/>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603"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534" w:type="dxa"/>
            <w:tcBorders>
              <w:bottom w:val="dotted" w:sz="4" w:space="0" w:color="000000"/>
              <w:right w:val="dotted" w:sz="4" w:space="0" w:color="000000"/>
            </w:tcBorders>
            <w:shd w:color="auto" w:fill="auto" w:val="clear"/>
            <w:vAlign w:val="bottom"/>
          </w:tcPr>
          <w:p>
            <w:pPr>
              <w:pStyle w:val="Normal"/>
              <w:widowControl w:val="false"/>
              <w:suppressAutoHyphens w:val="false"/>
              <w:jc w:val="center"/>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1164"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1068"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1077"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1122"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1064"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1055" w:type="dxa"/>
            <w:tcBorders>
              <w:bottom w:val="dotted" w:sz="4" w:space="0" w:color="000000"/>
              <w:right w:val="dotted" w:sz="4" w:space="0" w:color="000000"/>
            </w:tcBorders>
            <w:shd w:color="auto" w:fill="auto" w:val="clear"/>
            <w:vAlign w:val="bottom"/>
          </w:tcPr>
          <w:p>
            <w:pPr>
              <w:pStyle w:val="Normal"/>
              <w:widowControl w:val="false"/>
              <w:suppressAutoHyphens w:val="false"/>
              <w:rPr>
                <w:rFonts w:ascii="Arial Narrow" w:hAnsi="Arial Narrow" w:eastAsia="Times New Roman" w:cs="Calibri"/>
                <w:b/>
                <w:b/>
                <w:bCs/>
                <w:color w:val="000000"/>
                <w:kern w:val="0"/>
                <w:sz w:val="22"/>
                <w:szCs w:val="22"/>
                <w:lang w:eastAsia="it-IT" w:bidi="ar-SA"/>
              </w:rPr>
            </w:pPr>
            <w:r>
              <w:rPr>
                <w:rFonts w:cs="Calibri" w:ascii="Arial Narrow" w:hAnsi="Arial Narrow"/>
                <w:b/>
                <w:bCs/>
                <w:color w:val="000000"/>
                <w:sz w:val="22"/>
                <w:szCs w:val="22"/>
              </w:rPr>
              <w:t> </w:t>
            </w:r>
          </w:p>
        </w:tc>
        <w:tc>
          <w:tcPr>
            <w:tcW w:w="1241" w:type="dxa"/>
            <w:tcBorders>
              <w:bottom w:val="dotted" w:sz="4" w:space="0" w:color="000000"/>
              <w:right w:val="dotted" w:sz="4" w:space="0" w:color="000000"/>
            </w:tcBorders>
            <w:shd w:color="auto" w:fill="auto" w:val="clear"/>
            <w:vAlign w:val="bottom"/>
          </w:tcPr>
          <w:p>
            <w:pPr>
              <w:pStyle w:val="Normal"/>
              <w:widowControl w:val="false"/>
              <w:suppressAutoHyphens w:val="false"/>
              <w:jc w:val="right"/>
              <w:rPr>
                <w:rFonts w:ascii="Arial Narrow" w:hAnsi="Arial Narrow" w:cs="Calibri"/>
                <w:b/>
                <w:b/>
                <w:bCs/>
                <w:color w:val="000000"/>
                <w:sz w:val="22"/>
                <w:szCs w:val="22"/>
              </w:rPr>
            </w:pPr>
            <w:r>
              <w:rPr>
                <w:rFonts w:cs="Calibri" w:ascii="Arial Narrow" w:hAnsi="Arial Narrow"/>
                <w:b/>
                <w:bCs/>
                <w:color w:val="000000"/>
                <w:sz w:val="22"/>
                <w:szCs w:val="22"/>
              </w:rPr>
              <w:t xml:space="preserve">€ </w:t>
            </w:r>
            <w:r>
              <w:rPr>
                <w:rFonts w:cs="Calibri" w:ascii="Arial Narrow" w:hAnsi="Arial Narrow"/>
                <w:b/>
                <w:bCs/>
                <w:color w:val="000000"/>
                <w:sz w:val="22"/>
                <w:szCs w:val="22"/>
              </w:rPr>
              <w:t>142.312,26</w:t>
            </w:r>
          </w:p>
        </w:tc>
      </w:tr>
    </w:tbl>
    <w:p>
      <w:pPr>
        <w:pStyle w:val="Normal"/>
        <w:rPr/>
      </w:pPr>
      <w:r>
        <w:rPr/>
      </w:r>
    </w:p>
    <w:p>
      <w:pPr>
        <w:pStyle w:val="Normal"/>
        <w:rPr>
          <w:u w:val="single"/>
        </w:rPr>
      </w:pPr>
      <w:r>
        <w:rPr>
          <w:u w:val="single"/>
        </w:rPr>
        <w:t>Note:</w:t>
      </w:r>
    </w:p>
    <w:p>
      <w:pPr>
        <w:pStyle w:val="Normal"/>
        <w:jc w:val="both"/>
        <w:rPr/>
      </w:pPr>
      <w:r>
        <w:rPr/>
        <w:t xml:space="preserve">La stima si basa sul presupposto che gli immobili siano di tipo rurale, privi di abitabilità/agibilità e con impianti vetusti (ove presenti) e non dotati di certificazioni/dichiarazioni di conformità/rispondenza, dotabili di terreno adiacente o limitrofo per la superficie minima attualmente necessaria alla deruralizzazione. </w:t>
      </w:r>
    </w:p>
    <w:p>
      <w:pPr>
        <w:pStyle w:val="Normal"/>
        <w:jc w:val="both"/>
        <w:rPr/>
      </w:pPr>
      <w:r>
        <w:rPr/>
        <w:t>La stima tiene conto delle verifiche di regolarità urbanistico-edilizia e catastale eseguite a cura dell’Azienda alienante, compresi gli oneri per le eventuali regolarizzazioni e quelli per la redazione e la richiesta di A.P.E. (per le porzioni abitative) e del C.D.U. (per eventuali terreni). A tal riguardo si fa espresso rimando alla relazione a firma del Geom. Costantino Melani redatta in data 07.03.2025.</w:t>
      </w:r>
    </w:p>
    <w:p>
      <w:pPr>
        <w:pStyle w:val="Normal"/>
        <w:jc w:val="both"/>
        <w:rPr/>
      </w:pPr>
      <w:r>
        <w:rPr/>
        <w:t xml:space="preserve">Restano a carico della parte acquirente le pratiche edilizie e catastali ed i relativi oneri verdi per la deruralizzazione dei fabbricati e per il frazionamento del terreno pertinenziale previsto per legge sempre ai fini della deruralizzazione. </w:t>
      </w:r>
    </w:p>
    <w:p>
      <w:pPr>
        <w:pStyle w:val="Normal"/>
        <w:rPr/>
      </w:pPr>
      <w:r>
        <w:rPr/>
      </w:r>
    </w:p>
    <w:p>
      <w:pPr>
        <w:pStyle w:val="Normal"/>
        <w:jc w:val="both"/>
        <w:rPr/>
      </w:pPr>
      <w:r>
        <w:rPr/>
        <w:t xml:space="preserve">Il bene risulta locato per le porzioni identificate dalla particella 201 sub. 2, 3, 4 fino a novembre 2025. </w:t>
      </w:r>
    </w:p>
    <w:p>
      <w:pPr>
        <w:pStyle w:val="Normal"/>
        <w:jc w:val="both"/>
        <w:rPr/>
      </w:pPr>
      <w:r>
        <w:rPr/>
      </w:r>
    </w:p>
    <w:p>
      <w:pPr>
        <w:pStyle w:val="Normal"/>
        <w:rPr>
          <w:i/>
          <w:i/>
          <w:iCs/>
        </w:rPr>
      </w:pPr>
      <w:r>
        <w:rPr>
          <w:i/>
          <w:iCs/>
        </w:rPr>
        <w:t>Pistoia, 13.03.2025</w:t>
      </w:r>
    </w:p>
    <w:p>
      <w:pPr>
        <w:pStyle w:val="Normal"/>
        <w:rPr/>
      </w:pPr>
      <w:r>
        <w:rPr/>
      </w:r>
    </w:p>
    <w:p>
      <w:pPr>
        <w:pStyle w:val="Normal"/>
        <w:rPr/>
      </w:pPr>
      <w:r>
        <w:rPr/>
        <w:t>Il Tecnico incaricato</w:t>
        <w:tab/>
        <w:tab/>
        <w:tab/>
        <w:tab/>
        <w:tab/>
        <w:tab/>
        <w:tab/>
        <w:t>Il Direttore/RUP</w:t>
      </w:r>
    </w:p>
    <w:p>
      <w:pPr>
        <w:pStyle w:val="Normal"/>
        <w:rPr/>
      </w:pPr>
      <w:r>
        <w:rPr/>
        <w:t>Geom. Enrico Vannucci</w:t>
        <w:tab/>
        <w:tab/>
        <w:tab/>
        <w:tab/>
        <w:tab/>
        <w:tab/>
        <w:t>Dott. Giovanni Paci</w:t>
      </w:r>
    </w:p>
    <w:p>
      <w:pPr>
        <w:pStyle w:val="Normal"/>
        <w:rPr/>
      </w:pPr>
      <w:r>
        <w:rPr/>
        <w:t xml:space="preserve">                                                   </w:t>
      </w:r>
      <w:r>
        <w:rPr/>
        <w:t>Firmato digitalmente</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sz w:val="20"/>
          <w:szCs w:val="20"/>
        </w:rPr>
      </w:pPr>
      <w:r>
        <w:rPr/>
        <w:t>Allegati:</w:t>
        <w:tab/>
      </w:r>
      <w:r>
        <w:rPr>
          <w:sz w:val="20"/>
          <w:szCs w:val="20"/>
        </w:rPr>
        <w:t>Relazione tecnica Geom. Costantino Melani</w:t>
      </w:r>
    </w:p>
    <w:p>
      <w:pPr>
        <w:pStyle w:val="Normal"/>
        <w:rPr>
          <w:sz w:val="20"/>
          <w:szCs w:val="20"/>
        </w:rPr>
      </w:pPr>
      <w:r>
        <w:rPr>
          <w:sz w:val="20"/>
          <w:szCs w:val="20"/>
        </w:rPr>
        <w:tab/>
        <w:tab/>
        <w:t xml:space="preserve">Estratto di mappa catastale con indicazione del terreno pertinenziale utile ai fini della deruralizzazione. </w:t>
      </w:r>
    </w:p>
    <w:p>
      <w:pPr>
        <w:pStyle w:val="Normal"/>
        <w:rPr/>
      </w:pPr>
      <w:r>
        <w:rPr/>
      </w:r>
    </w:p>
    <w:sectPr>
      <w:headerReference w:type="default" r:id="rId2"/>
      <w:type w:val="nextPage"/>
      <w:pgSz w:w="11906" w:h="16838"/>
      <w:pgMar w:left="1134" w:right="851" w:gutter="0" w:header="567" w:top="1134" w:footer="0" w:bottom="851"/>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Narrow">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Intestazione"/>
      <w:jc w:val="center"/>
      <w:rPr>
        <w:sz w:val="22"/>
        <w:szCs w:val="22"/>
      </w:rPr>
    </w:pPr>
    <w:r>
      <w:rPr>
        <w:sz w:val="22"/>
        <w:szCs w:val="22"/>
      </w:rPr>
      <w:t>ISTITUTI RAGGRUPPATI</w:t>
    </w:r>
  </w:p>
  <w:p>
    <w:pPr>
      <w:pStyle w:val="Intestazione"/>
      <w:jc w:val="center"/>
      <w:rPr>
        <w:sz w:val="20"/>
        <w:szCs w:val="20"/>
      </w:rPr>
    </w:pPr>
    <w:r>
      <w:rPr>
        <w:sz w:val="20"/>
        <w:szCs w:val="20"/>
      </w:rPr>
      <w:t>AZIENDA PUBBLICA DI SERVIZI ALLA PERSONA</w:t>
    </w:r>
  </w:p>
</w:hdr>
</file>

<file path=word/settings.xml><?xml version="1.0" encoding="utf-8"?>
<w:settings xmlns:w="http://schemas.openxmlformats.org/wordprocessingml/2006/main">
  <w:zoom w:percent="18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283"/>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it-IT"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SimSun" w:cs="Arial"/>
      <w:color w:val="auto"/>
      <w:kern w:val="2"/>
      <w:sz w:val="24"/>
      <w:szCs w:val="24"/>
      <w:lang w:val="it-IT" w:eastAsia="zh-CN" w:bidi="hi-IN"/>
    </w:rPr>
  </w:style>
  <w:style w:type="character" w:styleId="DefaultParagraphFont" w:default="1">
    <w:name w:val="Default Paragraph Font"/>
    <w:uiPriority w:val="1"/>
    <w:semiHidden/>
    <w:unhideWhenUsed/>
    <w:qFormat/>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next w:val="Corpodeltesto"/>
    <w:uiPriority w:val="10"/>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rPr>
  </w:style>
  <w:style w:type="paragraph" w:styleId="Intestazioneepidipagina" w:customStyle="1">
    <w:name w:val="Intestazione e piè di pagina"/>
    <w:basedOn w:val="Normal"/>
    <w:qFormat/>
    <w:pPr>
      <w:suppressLineNumbers/>
      <w:tabs>
        <w:tab w:val="clear" w:pos="709"/>
        <w:tab w:val="center" w:pos="4819" w:leader="none"/>
        <w:tab w:val="right" w:pos="9638" w:leader="none"/>
      </w:tabs>
    </w:pPr>
    <w:rPr/>
  </w:style>
  <w:style w:type="paragraph" w:styleId="Intestazione">
    <w:name w:val="Header"/>
    <w:basedOn w:val="Intestazioneepidipagina"/>
    <w:pPr/>
    <w:rPr/>
  </w:style>
  <w:style w:type="numbering" w:styleId="NoList" w:default="1">
    <w:name w:val="No List"/>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Application>LibreOffice/7.3.2.2$Windows_X86_64 LibreOffice_project/49f2b1bff42cfccbd8f788c8dc32c1c309559be0</Application>
  <AppVersion>15.0000</AppVersion>
  <Pages>2</Pages>
  <Words>692</Words>
  <Characters>3887</Characters>
  <CharactersWithSpaces>4579</CharactersWithSpaces>
  <Paragraphs>123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2025-03-13T05:10:00Z</dcterms:created>
  <dc:creator>Giovanni Paci</dc:creator>
  <dc:description/>
  <dc:language>it-IT</dc:language>
  <cp:lastModifiedBy>Giovanni Paci</cp:lastModifiedBy>
  <cp:lastPrinted>2025-03-10T08:06:00Z</cp:lastPrinted>
  <dcterms:modified xsi:type="dcterms:W3CDTF">2025-03-19T12:54:07Z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